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5C1" w:rsidRPr="00B44369" w:rsidRDefault="00B44369" w:rsidP="00DE09EE">
      <w:pPr>
        <w:jc w:val="both"/>
        <w:rPr>
          <w:i/>
          <w:sz w:val="20"/>
          <w:szCs w:val="20"/>
        </w:rPr>
      </w:pPr>
      <w:bookmarkStart w:id="0" w:name="_GoBack"/>
      <w:bookmarkEnd w:id="0"/>
      <w:r w:rsidRPr="00B44369">
        <w:rPr>
          <w:i/>
          <w:sz w:val="20"/>
          <w:szCs w:val="20"/>
        </w:rPr>
        <w:t>Statement</w:t>
      </w:r>
    </w:p>
    <w:p w:rsidR="00B44369" w:rsidRPr="00B44369" w:rsidRDefault="00B44369" w:rsidP="00DE09EE">
      <w:pPr>
        <w:jc w:val="both"/>
        <w:rPr>
          <w:b/>
          <w:sz w:val="28"/>
        </w:rPr>
      </w:pPr>
      <w:r w:rsidRPr="00B44369">
        <w:rPr>
          <w:b/>
          <w:sz w:val="28"/>
        </w:rPr>
        <w:t xml:space="preserve">Expert review confirms that MTBE is not an </w:t>
      </w:r>
      <w:r w:rsidR="00AC312E">
        <w:rPr>
          <w:b/>
          <w:sz w:val="28"/>
        </w:rPr>
        <w:t>endocrine disruptor</w:t>
      </w:r>
    </w:p>
    <w:p w:rsidR="00B44369" w:rsidRDefault="00CF2174" w:rsidP="00DE09EE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6</w:t>
      </w:r>
      <w:r w:rsidR="008C0B43">
        <w:rPr>
          <w:i/>
          <w:sz w:val="20"/>
          <w:szCs w:val="20"/>
        </w:rPr>
        <w:t xml:space="preserve"> February</w:t>
      </w:r>
      <w:r w:rsidR="00A9461A">
        <w:rPr>
          <w:i/>
          <w:sz w:val="20"/>
          <w:szCs w:val="20"/>
        </w:rPr>
        <w:t xml:space="preserve"> 2015</w:t>
      </w:r>
    </w:p>
    <w:p w:rsidR="00A9461A" w:rsidRPr="00A9461A" w:rsidRDefault="00A9461A" w:rsidP="00DE09EE">
      <w:pPr>
        <w:spacing w:after="0"/>
        <w:jc w:val="both"/>
        <w:rPr>
          <w:i/>
          <w:sz w:val="20"/>
          <w:szCs w:val="20"/>
        </w:rPr>
      </w:pPr>
    </w:p>
    <w:p w:rsidR="00B44369" w:rsidRPr="00B44369" w:rsidRDefault="00B44369" w:rsidP="00B44369">
      <w:pPr>
        <w:spacing w:after="0"/>
        <w:jc w:val="both"/>
        <w:rPr>
          <w:sz w:val="20"/>
          <w:szCs w:val="20"/>
        </w:rPr>
      </w:pPr>
      <w:r w:rsidRPr="00B44369">
        <w:rPr>
          <w:sz w:val="20"/>
          <w:szCs w:val="20"/>
        </w:rPr>
        <w:t>The European Fuel Ox</w:t>
      </w:r>
      <w:r>
        <w:rPr>
          <w:sz w:val="20"/>
          <w:szCs w:val="20"/>
        </w:rPr>
        <w:t>ygenates Association (EFOA) welcomes the</w:t>
      </w:r>
      <w:r w:rsidR="00975A14">
        <w:rPr>
          <w:sz w:val="20"/>
          <w:szCs w:val="20"/>
        </w:rPr>
        <w:t xml:space="preserve"> findings of the </w:t>
      </w:r>
      <w:r w:rsidRPr="00B44369">
        <w:rPr>
          <w:sz w:val="20"/>
          <w:szCs w:val="20"/>
        </w:rPr>
        <w:t>weight of evidence analysis (</w:t>
      </w:r>
      <w:proofErr w:type="spellStart"/>
      <w:r w:rsidRPr="00B44369">
        <w:rPr>
          <w:sz w:val="20"/>
          <w:szCs w:val="20"/>
        </w:rPr>
        <w:t>WoE</w:t>
      </w:r>
      <w:proofErr w:type="spellEnd"/>
      <w:r w:rsidRPr="00B44369">
        <w:rPr>
          <w:sz w:val="20"/>
          <w:szCs w:val="20"/>
        </w:rPr>
        <w:t xml:space="preserve">) to determine the potential endocrine activity of Methyl </w:t>
      </w:r>
      <w:proofErr w:type="spellStart"/>
      <w:r w:rsidRPr="00B44369">
        <w:rPr>
          <w:sz w:val="20"/>
          <w:szCs w:val="20"/>
        </w:rPr>
        <w:t>tert</w:t>
      </w:r>
      <w:proofErr w:type="spellEnd"/>
      <w:r w:rsidRPr="00B44369">
        <w:rPr>
          <w:sz w:val="20"/>
          <w:szCs w:val="20"/>
        </w:rPr>
        <w:t xml:space="preserve">-butyl ether (MTBE). The analysis carried out by independent experts </w:t>
      </w:r>
      <w:r>
        <w:rPr>
          <w:sz w:val="20"/>
          <w:szCs w:val="20"/>
        </w:rPr>
        <w:t xml:space="preserve">was </w:t>
      </w:r>
      <w:r w:rsidRPr="00B44369">
        <w:rPr>
          <w:sz w:val="20"/>
          <w:szCs w:val="20"/>
        </w:rPr>
        <w:t>published in a peer reviewed scientific journal</w:t>
      </w:r>
      <w:r>
        <w:rPr>
          <w:sz w:val="20"/>
          <w:szCs w:val="20"/>
        </w:rPr>
        <w:t xml:space="preserve"> and</w:t>
      </w:r>
      <w:r w:rsidRPr="00B44369">
        <w:rPr>
          <w:sz w:val="20"/>
          <w:szCs w:val="20"/>
        </w:rPr>
        <w:t xml:space="preserve"> firmly conclude</w:t>
      </w:r>
      <w:r>
        <w:rPr>
          <w:sz w:val="20"/>
          <w:szCs w:val="20"/>
        </w:rPr>
        <w:t>s that</w:t>
      </w:r>
      <w:r w:rsidR="00975A14">
        <w:rPr>
          <w:sz w:val="20"/>
          <w:szCs w:val="20"/>
        </w:rPr>
        <w:t xml:space="preserve"> </w:t>
      </w:r>
      <w:r w:rsidR="00975A14" w:rsidRPr="00C33A4A">
        <w:rPr>
          <w:b/>
          <w:sz w:val="20"/>
          <w:szCs w:val="20"/>
        </w:rPr>
        <w:t xml:space="preserve">MTBE does not meet </w:t>
      </w:r>
      <w:r w:rsidR="00BC25EA">
        <w:rPr>
          <w:b/>
          <w:sz w:val="20"/>
          <w:szCs w:val="20"/>
        </w:rPr>
        <w:t>endocrine disruptor (ED)</w:t>
      </w:r>
      <w:r w:rsidR="00975A14" w:rsidRPr="00C33A4A">
        <w:rPr>
          <w:b/>
          <w:sz w:val="20"/>
          <w:szCs w:val="20"/>
        </w:rPr>
        <w:t xml:space="preserve"> criteria</w:t>
      </w:r>
      <w:r w:rsidR="00975A14">
        <w:rPr>
          <w:sz w:val="20"/>
          <w:szCs w:val="20"/>
        </w:rPr>
        <w:t>.</w:t>
      </w:r>
    </w:p>
    <w:p w:rsidR="00B44369" w:rsidRPr="00B44369" w:rsidRDefault="00B44369" w:rsidP="00B44369">
      <w:pPr>
        <w:spacing w:after="0"/>
        <w:jc w:val="both"/>
        <w:rPr>
          <w:sz w:val="20"/>
          <w:szCs w:val="20"/>
        </w:rPr>
      </w:pPr>
    </w:p>
    <w:p w:rsidR="00B44369" w:rsidRPr="00B44369" w:rsidRDefault="00B44369" w:rsidP="00B44369">
      <w:pPr>
        <w:spacing w:after="0"/>
        <w:jc w:val="both"/>
        <w:rPr>
          <w:sz w:val="20"/>
          <w:szCs w:val="20"/>
        </w:rPr>
      </w:pPr>
      <w:r w:rsidRPr="00B44369">
        <w:rPr>
          <w:sz w:val="20"/>
          <w:szCs w:val="20"/>
        </w:rPr>
        <w:t xml:space="preserve">Applying a process internationally agreed within the </w:t>
      </w:r>
      <w:proofErr w:type="spellStart"/>
      <w:r w:rsidRPr="00B44369">
        <w:rPr>
          <w:sz w:val="20"/>
          <w:szCs w:val="20"/>
        </w:rPr>
        <w:t>Organisation</w:t>
      </w:r>
      <w:proofErr w:type="spellEnd"/>
      <w:r w:rsidRPr="00B44369">
        <w:rPr>
          <w:sz w:val="20"/>
          <w:szCs w:val="20"/>
        </w:rPr>
        <w:t xml:space="preserve"> for Economic Co-operation and Development (OECD), the experts </w:t>
      </w:r>
      <w:r w:rsidR="001260AF">
        <w:rPr>
          <w:sz w:val="20"/>
          <w:szCs w:val="20"/>
        </w:rPr>
        <w:t>undertook</w:t>
      </w:r>
      <w:r w:rsidRPr="00B44369">
        <w:rPr>
          <w:sz w:val="20"/>
          <w:szCs w:val="20"/>
        </w:rPr>
        <w:t xml:space="preserve"> the first systematic and transparent evaluation of an industrial chemical’s potential endocrine disrupting properties. </w:t>
      </w:r>
      <w:r w:rsidR="004538EB">
        <w:rPr>
          <w:sz w:val="20"/>
          <w:szCs w:val="20"/>
        </w:rPr>
        <w:t>T</w:t>
      </w:r>
      <w:r w:rsidRPr="00B44369">
        <w:rPr>
          <w:sz w:val="20"/>
          <w:szCs w:val="20"/>
        </w:rPr>
        <w:t>he</w:t>
      </w:r>
      <w:r w:rsidR="00956B0C">
        <w:rPr>
          <w:sz w:val="20"/>
          <w:szCs w:val="20"/>
        </w:rPr>
        <w:t>ir</w:t>
      </w:r>
      <w:r w:rsidRPr="00B44369">
        <w:rPr>
          <w:sz w:val="20"/>
          <w:szCs w:val="20"/>
        </w:rPr>
        <w:t xml:space="preserve"> weight of evidence analysis (</w:t>
      </w:r>
      <w:proofErr w:type="spellStart"/>
      <w:r w:rsidRPr="00B44369">
        <w:rPr>
          <w:sz w:val="20"/>
          <w:szCs w:val="20"/>
        </w:rPr>
        <w:t>WoE</w:t>
      </w:r>
      <w:proofErr w:type="spellEnd"/>
      <w:r w:rsidRPr="00B44369">
        <w:rPr>
          <w:sz w:val="20"/>
          <w:szCs w:val="20"/>
        </w:rPr>
        <w:t>) focuse</w:t>
      </w:r>
      <w:r w:rsidR="001260AF">
        <w:rPr>
          <w:sz w:val="20"/>
          <w:szCs w:val="20"/>
        </w:rPr>
        <w:t>s</w:t>
      </w:r>
      <w:r w:rsidRPr="00B44369">
        <w:rPr>
          <w:sz w:val="20"/>
          <w:szCs w:val="20"/>
        </w:rPr>
        <w:t xml:space="preserve"> on hypotheses related to the potential for MTBE to interact with estrogen, androgen, and thyroid pat</w:t>
      </w:r>
      <w:r w:rsidR="00956B0C">
        <w:rPr>
          <w:sz w:val="20"/>
          <w:szCs w:val="20"/>
        </w:rPr>
        <w:t xml:space="preserve">hways, and </w:t>
      </w:r>
      <w:proofErr w:type="spellStart"/>
      <w:r w:rsidR="00956B0C">
        <w:rPr>
          <w:sz w:val="20"/>
          <w:szCs w:val="20"/>
        </w:rPr>
        <w:t>steroidogenesis</w:t>
      </w:r>
      <w:proofErr w:type="spellEnd"/>
      <w:r w:rsidR="00956B0C">
        <w:rPr>
          <w:sz w:val="20"/>
          <w:szCs w:val="20"/>
        </w:rPr>
        <w:t xml:space="preserve">. The </w:t>
      </w:r>
      <w:proofErr w:type="spellStart"/>
      <w:r w:rsidR="00956B0C">
        <w:rPr>
          <w:sz w:val="20"/>
          <w:szCs w:val="20"/>
        </w:rPr>
        <w:t>WoE</w:t>
      </w:r>
      <w:proofErr w:type="spellEnd"/>
      <w:r w:rsidR="00956B0C">
        <w:rPr>
          <w:sz w:val="20"/>
          <w:szCs w:val="20"/>
        </w:rPr>
        <w:t xml:space="preserve"> </w:t>
      </w:r>
      <w:proofErr w:type="spellStart"/>
      <w:r w:rsidR="004538EB" w:rsidRPr="00B44369">
        <w:rPr>
          <w:sz w:val="20"/>
          <w:szCs w:val="20"/>
        </w:rPr>
        <w:t>maximi</w:t>
      </w:r>
      <w:r w:rsidR="004538EB">
        <w:rPr>
          <w:sz w:val="20"/>
          <w:szCs w:val="20"/>
        </w:rPr>
        <w:t>s</w:t>
      </w:r>
      <w:r w:rsidR="001260AF">
        <w:rPr>
          <w:sz w:val="20"/>
          <w:szCs w:val="20"/>
        </w:rPr>
        <w:t>es</w:t>
      </w:r>
      <w:proofErr w:type="spellEnd"/>
      <w:r w:rsidRPr="00B44369">
        <w:rPr>
          <w:sz w:val="20"/>
          <w:szCs w:val="20"/>
        </w:rPr>
        <w:t xml:space="preserve"> the use of existing toxicology literature about MTBE</w:t>
      </w:r>
      <w:r w:rsidR="001260AF">
        <w:rPr>
          <w:sz w:val="20"/>
          <w:szCs w:val="20"/>
        </w:rPr>
        <w:t>,</w:t>
      </w:r>
      <w:r w:rsidRPr="00B44369">
        <w:rPr>
          <w:sz w:val="20"/>
          <w:szCs w:val="20"/>
        </w:rPr>
        <w:t xml:space="preserve"> including recent studies </w:t>
      </w:r>
      <w:r w:rsidR="001260AF">
        <w:rPr>
          <w:sz w:val="20"/>
          <w:szCs w:val="20"/>
        </w:rPr>
        <w:t>specifically</w:t>
      </w:r>
      <w:r w:rsidRPr="00B44369">
        <w:rPr>
          <w:sz w:val="20"/>
          <w:szCs w:val="20"/>
        </w:rPr>
        <w:t xml:space="preserve"> prepared to </w:t>
      </w:r>
      <w:r w:rsidR="001260AF">
        <w:rPr>
          <w:sz w:val="20"/>
          <w:szCs w:val="20"/>
        </w:rPr>
        <w:t>investigate</w:t>
      </w:r>
      <w:r w:rsidRPr="00B44369">
        <w:rPr>
          <w:sz w:val="20"/>
          <w:szCs w:val="20"/>
        </w:rPr>
        <w:t xml:space="preserve"> </w:t>
      </w:r>
      <w:r w:rsidR="001260AF">
        <w:rPr>
          <w:sz w:val="20"/>
          <w:szCs w:val="20"/>
        </w:rPr>
        <w:t>all</w:t>
      </w:r>
      <w:r w:rsidRPr="00B44369">
        <w:rPr>
          <w:sz w:val="20"/>
          <w:szCs w:val="20"/>
        </w:rPr>
        <w:t xml:space="preserve"> possible hypothes</w:t>
      </w:r>
      <w:r w:rsidR="001260AF">
        <w:rPr>
          <w:sz w:val="20"/>
          <w:szCs w:val="20"/>
        </w:rPr>
        <w:t>e</w:t>
      </w:r>
      <w:r w:rsidRPr="00B44369">
        <w:rPr>
          <w:sz w:val="20"/>
          <w:szCs w:val="20"/>
        </w:rPr>
        <w:t xml:space="preserve">s for </w:t>
      </w:r>
      <w:r w:rsidR="001260AF">
        <w:rPr>
          <w:sz w:val="20"/>
          <w:szCs w:val="20"/>
        </w:rPr>
        <w:t xml:space="preserve">an </w:t>
      </w:r>
      <w:r w:rsidR="00A62FC4">
        <w:rPr>
          <w:sz w:val="20"/>
          <w:szCs w:val="20"/>
        </w:rPr>
        <w:t>ED</w:t>
      </w:r>
      <w:r w:rsidRPr="00B44369">
        <w:rPr>
          <w:sz w:val="20"/>
          <w:szCs w:val="20"/>
        </w:rPr>
        <w:t xml:space="preserve"> mechanism.</w:t>
      </w:r>
      <w:r w:rsidR="001260AF">
        <w:rPr>
          <w:sz w:val="20"/>
          <w:szCs w:val="20"/>
        </w:rPr>
        <w:t xml:space="preserve"> </w:t>
      </w:r>
      <w:r w:rsidR="00956B0C">
        <w:rPr>
          <w:sz w:val="20"/>
          <w:szCs w:val="20"/>
        </w:rPr>
        <w:t>Any</w:t>
      </w:r>
      <w:r w:rsidR="001260AF">
        <w:rPr>
          <w:sz w:val="20"/>
          <w:szCs w:val="20"/>
        </w:rPr>
        <w:t xml:space="preserve"> potential</w:t>
      </w:r>
      <w:r w:rsidRPr="00B44369">
        <w:rPr>
          <w:sz w:val="20"/>
          <w:szCs w:val="20"/>
        </w:rPr>
        <w:t xml:space="preserve"> false positive effects caused by high doses in toxicity tests</w:t>
      </w:r>
      <w:r w:rsidR="00956B0C">
        <w:rPr>
          <w:sz w:val="20"/>
          <w:szCs w:val="20"/>
        </w:rPr>
        <w:t xml:space="preserve"> were also addressed in the analysis</w:t>
      </w:r>
      <w:r w:rsidRPr="00B44369">
        <w:rPr>
          <w:sz w:val="20"/>
          <w:szCs w:val="20"/>
        </w:rPr>
        <w:t>.</w:t>
      </w:r>
    </w:p>
    <w:p w:rsidR="00B44369" w:rsidRPr="00B44369" w:rsidRDefault="00B44369" w:rsidP="00B44369">
      <w:pPr>
        <w:spacing w:after="0"/>
        <w:jc w:val="both"/>
        <w:rPr>
          <w:sz w:val="20"/>
          <w:szCs w:val="20"/>
        </w:rPr>
      </w:pPr>
    </w:p>
    <w:p w:rsidR="00B44369" w:rsidRPr="00B44369" w:rsidRDefault="00A62FC4" w:rsidP="00B44369">
      <w:pPr>
        <w:spacing w:after="0"/>
        <w:jc w:val="both"/>
        <w:rPr>
          <w:sz w:val="20"/>
          <w:szCs w:val="20"/>
        </w:rPr>
      </w:pPr>
      <w:r w:rsidRPr="00B44369">
        <w:rPr>
          <w:sz w:val="20"/>
          <w:szCs w:val="20"/>
        </w:rPr>
        <w:t xml:space="preserve">MTBE </w:t>
      </w:r>
      <w:r>
        <w:rPr>
          <w:sz w:val="20"/>
          <w:szCs w:val="20"/>
        </w:rPr>
        <w:t>is</w:t>
      </w:r>
      <w:r w:rsidRPr="00B44369">
        <w:rPr>
          <w:sz w:val="20"/>
          <w:szCs w:val="20"/>
        </w:rPr>
        <w:t xml:space="preserve"> </w:t>
      </w:r>
      <w:r>
        <w:rPr>
          <w:sz w:val="20"/>
          <w:szCs w:val="20"/>
        </w:rPr>
        <w:t>in the top</w:t>
      </w:r>
      <w:r w:rsidRPr="00B44369">
        <w:rPr>
          <w:sz w:val="20"/>
          <w:szCs w:val="20"/>
        </w:rPr>
        <w:t xml:space="preserve"> 2% </w:t>
      </w:r>
      <w:r>
        <w:rPr>
          <w:sz w:val="20"/>
          <w:szCs w:val="20"/>
        </w:rPr>
        <w:t xml:space="preserve">of </w:t>
      </w:r>
      <w:r w:rsidR="0068414B">
        <w:rPr>
          <w:sz w:val="20"/>
          <w:szCs w:val="20"/>
        </w:rPr>
        <w:t xml:space="preserve">the </w:t>
      </w:r>
      <w:r>
        <w:rPr>
          <w:sz w:val="20"/>
          <w:szCs w:val="20"/>
        </w:rPr>
        <w:t>most</w:t>
      </w:r>
      <w:r w:rsidRPr="00B44369">
        <w:rPr>
          <w:sz w:val="20"/>
          <w:szCs w:val="20"/>
        </w:rPr>
        <w:t xml:space="preserve"> studied industrial chemicals</w:t>
      </w:r>
      <w:r>
        <w:rPr>
          <w:sz w:val="20"/>
          <w:szCs w:val="20"/>
        </w:rPr>
        <w:t>.</w:t>
      </w:r>
      <w:r w:rsidRPr="00B44369">
        <w:rPr>
          <w:sz w:val="20"/>
          <w:szCs w:val="20"/>
        </w:rPr>
        <w:t xml:space="preserve"> </w:t>
      </w:r>
      <w:r>
        <w:rPr>
          <w:sz w:val="20"/>
          <w:szCs w:val="20"/>
        </w:rPr>
        <w:t>Indeed, t</w:t>
      </w:r>
      <w:r w:rsidR="00B44369" w:rsidRPr="00B44369">
        <w:rPr>
          <w:sz w:val="20"/>
          <w:szCs w:val="20"/>
        </w:rPr>
        <w:t xml:space="preserve">he </w:t>
      </w:r>
      <w:r w:rsidR="00BC25EA">
        <w:rPr>
          <w:sz w:val="20"/>
          <w:szCs w:val="20"/>
        </w:rPr>
        <w:t xml:space="preserve">findings of the </w:t>
      </w:r>
      <w:proofErr w:type="spellStart"/>
      <w:r w:rsidR="0068414B">
        <w:rPr>
          <w:sz w:val="20"/>
          <w:szCs w:val="20"/>
        </w:rPr>
        <w:t>WoE</w:t>
      </w:r>
      <w:proofErr w:type="spellEnd"/>
      <w:r w:rsidR="00B44369" w:rsidRPr="00B44369">
        <w:rPr>
          <w:sz w:val="20"/>
          <w:szCs w:val="20"/>
        </w:rPr>
        <w:t xml:space="preserve"> </w:t>
      </w:r>
      <w:r w:rsidR="00BC25EA">
        <w:rPr>
          <w:sz w:val="20"/>
          <w:szCs w:val="20"/>
        </w:rPr>
        <w:t>analysis are</w:t>
      </w:r>
      <w:r w:rsidR="00B44369" w:rsidRPr="00B44369">
        <w:rPr>
          <w:sz w:val="20"/>
          <w:szCs w:val="20"/>
        </w:rPr>
        <w:t xml:space="preserve"> consiste</w:t>
      </w:r>
      <w:r w:rsidR="00BC25EA">
        <w:rPr>
          <w:sz w:val="20"/>
          <w:szCs w:val="20"/>
        </w:rPr>
        <w:t xml:space="preserve">nt with </w:t>
      </w:r>
      <w:r w:rsidR="0068414B">
        <w:rPr>
          <w:sz w:val="20"/>
          <w:szCs w:val="20"/>
        </w:rPr>
        <w:t xml:space="preserve">the </w:t>
      </w:r>
      <w:r w:rsidR="00BC25EA">
        <w:rPr>
          <w:sz w:val="20"/>
          <w:szCs w:val="20"/>
        </w:rPr>
        <w:t>past EU risk assessment, which gave no rise for concern regarding endocrine disrupting properties in MTBE.</w:t>
      </w:r>
      <w:r w:rsidR="00B44369" w:rsidRPr="00B44369">
        <w:rPr>
          <w:sz w:val="20"/>
          <w:szCs w:val="20"/>
        </w:rPr>
        <w:t xml:space="preserve"> </w:t>
      </w:r>
      <w:r w:rsidR="00BC25EA">
        <w:rPr>
          <w:sz w:val="20"/>
          <w:szCs w:val="20"/>
        </w:rPr>
        <w:t>Nonetheless</w:t>
      </w:r>
      <w:r w:rsidR="00B44369" w:rsidRPr="00B44369">
        <w:rPr>
          <w:sz w:val="20"/>
          <w:szCs w:val="20"/>
        </w:rPr>
        <w:t xml:space="preserve">, MTBE is currently </w:t>
      </w:r>
      <w:r w:rsidR="00BC25EA">
        <w:rPr>
          <w:sz w:val="20"/>
          <w:szCs w:val="20"/>
        </w:rPr>
        <w:t xml:space="preserve">being </w:t>
      </w:r>
      <w:r w:rsidR="00B44369" w:rsidRPr="00B44369">
        <w:rPr>
          <w:sz w:val="20"/>
          <w:szCs w:val="20"/>
        </w:rPr>
        <w:t xml:space="preserve">assessed under the EU-REACH regulation process CORAP including </w:t>
      </w:r>
      <w:r>
        <w:rPr>
          <w:sz w:val="20"/>
          <w:szCs w:val="20"/>
        </w:rPr>
        <w:t xml:space="preserve">a review of </w:t>
      </w:r>
      <w:r w:rsidR="00AC312E">
        <w:rPr>
          <w:sz w:val="20"/>
          <w:szCs w:val="20"/>
        </w:rPr>
        <w:t>any</w:t>
      </w:r>
      <w:r>
        <w:rPr>
          <w:sz w:val="20"/>
          <w:szCs w:val="20"/>
        </w:rPr>
        <w:t xml:space="preserve"> potential</w:t>
      </w:r>
      <w:r w:rsidR="00B44369" w:rsidRPr="00B44369">
        <w:rPr>
          <w:sz w:val="20"/>
          <w:szCs w:val="20"/>
        </w:rPr>
        <w:t xml:space="preserve"> </w:t>
      </w:r>
      <w:r w:rsidR="00AC312E">
        <w:rPr>
          <w:sz w:val="20"/>
          <w:szCs w:val="20"/>
        </w:rPr>
        <w:t xml:space="preserve">for having </w:t>
      </w:r>
      <w:r>
        <w:rPr>
          <w:sz w:val="20"/>
          <w:szCs w:val="20"/>
        </w:rPr>
        <w:t>ED</w:t>
      </w:r>
      <w:r w:rsidR="00B44369" w:rsidRPr="00B44369">
        <w:rPr>
          <w:sz w:val="20"/>
          <w:szCs w:val="20"/>
        </w:rPr>
        <w:t xml:space="preserve"> properties.</w:t>
      </w:r>
    </w:p>
    <w:p w:rsidR="00B44369" w:rsidRPr="00B44369" w:rsidRDefault="00B44369" w:rsidP="00B44369">
      <w:pPr>
        <w:spacing w:after="0"/>
        <w:jc w:val="both"/>
        <w:rPr>
          <w:sz w:val="20"/>
          <w:szCs w:val="20"/>
        </w:rPr>
      </w:pPr>
    </w:p>
    <w:p w:rsidR="00B44369" w:rsidRPr="00B44369" w:rsidRDefault="0049547A" w:rsidP="00B4436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Given the debate surrounding ED across the EU, </w:t>
      </w:r>
      <w:r w:rsidR="00B44369" w:rsidRPr="00B44369">
        <w:rPr>
          <w:sz w:val="20"/>
          <w:szCs w:val="20"/>
        </w:rPr>
        <w:t xml:space="preserve">EFOA </w:t>
      </w:r>
      <w:r>
        <w:rPr>
          <w:sz w:val="20"/>
          <w:szCs w:val="20"/>
        </w:rPr>
        <w:t xml:space="preserve">supports the application of </w:t>
      </w:r>
      <w:r w:rsidR="002D7479">
        <w:rPr>
          <w:sz w:val="20"/>
          <w:szCs w:val="20"/>
        </w:rPr>
        <w:t>robust</w:t>
      </w:r>
      <w:r w:rsidR="002D7479" w:rsidRPr="00B44369">
        <w:rPr>
          <w:sz w:val="20"/>
          <w:szCs w:val="20"/>
        </w:rPr>
        <w:t xml:space="preserve"> </w:t>
      </w:r>
      <w:r w:rsidR="00B44369" w:rsidRPr="00B44369">
        <w:rPr>
          <w:sz w:val="20"/>
          <w:szCs w:val="20"/>
        </w:rPr>
        <w:t>scien</w:t>
      </w:r>
      <w:r w:rsidR="002D7479">
        <w:rPr>
          <w:sz w:val="20"/>
          <w:szCs w:val="20"/>
        </w:rPr>
        <w:t>tific</w:t>
      </w:r>
      <w:r>
        <w:rPr>
          <w:sz w:val="20"/>
          <w:szCs w:val="20"/>
        </w:rPr>
        <w:t xml:space="preserve"> </w:t>
      </w:r>
      <w:r w:rsidR="002D7479">
        <w:rPr>
          <w:sz w:val="20"/>
          <w:szCs w:val="20"/>
        </w:rPr>
        <w:t xml:space="preserve">evidence and research </w:t>
      </w:r>
      <w:r>
        <w:rPr>
          <w:sz w:val="20"/>
          <w:szCs w:val="20"/>
        </w:rPr>
        <w:t xml:space="preserve">in </w:t>
      </w:r>
      <w:r w:rsidR="00B44369" w:rsidRPr="00B44369">
        <w:rPr>
          <w:sz w:val="20"/>
          <w:szCs w:val="20"/>
        </w:rPr>
        <w:t>evaluati</w:t>
      </w:r>
      <w:r>
        <w:rPr>
          <w:sz w:val="20"/>
          <w:szCs w:val="20"/>
        </w:rPr>
        <w:t>ng the</w:t>
      </w:r>
      <w:r w:rsidR="00B44369" w:rsidRPr="00B44369">
        <w:rPr>
          <w:sz w:val="20"/>
          <w:szCs w:val="20"/>
        </w:rPr>
        <w:t xml:space="preserve"> possible endocrine effects </w:t>
      </w:r>
      <w:r>
        <w:rPr>
          <w:sz w:val="20"/>
          <w:szCs w:val="20"/>
        </w:rPr>
        <w:t>of</w:t>
      </w:r>
      <w:r w:rsidR="00B44369" w:rsidRPr="00B44369">
        <w:rPr>
          <w:sz w:val="20"/>
          <w:szCs w:val="20"/>
        </w:rPr>
        <w:t xml:space="preserve"> chemicals. EFOA</w:t>
      </w:r>
      <w:r>
        <w:rPr>
          <w:sz w:val="20"/>
          <w:szCs w:val="20"/>
        </w:rPr>
        <w:t xml:space="preserve"> is confident that MTBE does not meet ED criteria and</w:t>
      </w:r>
      <w:r w:rsidR="00B44369" w:rsidRPr="00B44369">
        <w:rPr>
          <w:sz w:val="20"/>
          <w:szCs w:val="20"/>
        </w:rPr>
        <w:t xml:space="preserve"> believes that the weight of evidence analysis should be the basis for a consistent assessment of MTBE by </w:t>
      </w:r>
      <w:r>
        <w:rPr>
          <w:sz w:val="20"/>
          <w:szCs w:val="20"/>
        </w:rPr>
        <w:t>EU</w:t>
      </w:r>
      <w:r w:rsidR="00B44369" w:rsidRPr="00B44369">
        <w:rPr>
          <w:sz w:val="20"/>
          <w:szCs w:val="20"/>
        </w:rPr>
        <w:t xml:space="preserve"> Member States.</w:t>
      </w:r>
    </w:p>
    <w:p w:rsidR="00B44369" w:rsidRPr="00B44369" w:rsidRDefault="00B44369" w:rsidP="00B44369">
      <w:pPr>
        <w:spacing w:after="0"/>
        <w:jc w:val="both"/>
        <w:rPr>
          <w:sz w:val="20"/>
          <w:szCs w:val="20"/>
        </w:rPr>
      </w:pPr>
    </w:p>
    <w:p w:rsidR="00B44369" w:rsidRPr="00CF2174" w:rsidRDefault="00AC312E" w:rsidP="00B44369">
      <w:pPr>
        <w:spacing w:after="0"/>
        <w:jc w:val="both"/>
        <w:rPr>
          <w:sz w:val="20"/>
          <w:szCs w:val="20"/>
        </w:rPr>
      </w:pPr>
      <w:r w:rsidRPr="00CF2174">
        <w:rPr>
          <w:rFonts w:cstheme="minorHAnsi"/>
          <w:sz w:val="20"/>
          <w:szCs w:val="20"/>
        </w:rPr>
        <w:t>The detailed review</w:t>
      </w:r>
      <w:r w:rsidRPr="00CF2174">
        <w:rPr>
          <w:rFonts w:ascii="Arial" w:hAnsi="Arial" w:cs="Arial"/>
          <w:sz w:val="20"/>
          <w:szCs w:val="20"/>
        </w:rPr>
        <w:t xml:space="preserve"> </w:t>
      </w:r>
      <w:r w:rsidR="00B44369" w:rsidRPr="00B44369">
        <w:rPr>
          <w:sz w:val="20"/>
          <w:szCs w:val="20"/>
        </w:rPr>
        <w:t xml:space="preserve">(de Peyster A. and </w:t>
      </w:r>
      <w:proofErr w:type="spellStart"/>
      <w:r w:rsidR="00B44369" w:rsidRPr="00B44369">
        <w:rPr>
          <w:sz w:val="20"/>
          <w:szCs w:val="20"/>
        </w:rPr>
        <w:t>Mihaich</w:t>
      </w:r>
      <w:proofErr w:type="spellEnd"/>
      <w:r w:rsidR="00B44369" w:rsidRPr="00B44369">
        <w:rPr>
          <w:sz w:val="20"/>
          <w:szCs w:val="20"/>
        </w:rPr>
        <w:t xml:space="preserve"> E. (2014). </w:t>
      </w:r>
      <w:proofErr w:type="gramStart"/>
      <w:r w:rsidR="00B44369" w:rsidRPr="00B44369">
        <w:rPr>
          <w:sz w:val="20"/>
          <w:szCs w:val="20"/>
        </w:rPr>
        <w:t>Hypothesis-driven weight of evidence analysis to determine potential endocrine activity of MTBE.</w:t>
      </w:r>
      <w:proofErr w:type="gramEnd"/>
      <w:r w:rsidR="00B44369" w:rsidRPr="00B44369">
        <w:rPr>
          <w:sz w:val="20"/>
          <w:szCs w:val="20"/>
        </w:rPr>
        <w:t xml:space="preserve"> </w:t>
      </w:r>
      <w:proofErr w:type="gramStart"/>
      <w:r w:rsidR="00B44369" w:rsidRPr="00B44369">
        <w:rPr>
          <w:sz w:val="20"/>
          <w:szCs w:val="20"/>
        </w:rPr>
        <w:t>Regulatory Toxicology and Pharmacology.</w:t>
      </w:r>
      <w:proofErr w:type="gramEnd"/>
      <w:r w:rsidR="00B44369" w:rsidRPr="00B44369">
        <w:rPr>
          <w:sz w:val="20"/>
          <w:szCs w:val="20"/>
        </w:rPr>
        <w:t xml:space="preserve"> 69:348-370</w:t>
      </w:r>
      <w:r w:rsidR="00B44369" w:rsidRPr="00CF2174">
        <w:rPr>
          <w:rFonts w:cstheme="minorHAnsi"/>
          <w:sz w:val="20"/>
          <w:szCs w:val="20"/>
        </w:rPr>
        <w:t>)</w:t>
      </w:r>
      <w:r w:rsidRPr="00CF2174">
        <w:rPr>
          <w:rFonts w:cstheme="minorHAnsi"/>
          <w:sz w:val="20"/>
          <w:szCs w:val="20"/>
        </w:rPr>
        <w:t xml:space="preserve"> is available as an open access publication via the journal website: </w:t>
      </w:r>
      <w:hyperlink r:id="rId7" w:history="1">
        <w:r w:rsidRPr="00CF2174">
          <w:rPr>
            <w:rStyle w:val="Hyperlink"/>
            <w:rFonts w:cstheme="minorHAnsi"/>
            <w:color w:val="auto"/>
            <w:sz w:val="20"/>
            <w:szCs w:val="20"/>
          </w:rPr>
          <w:t>http://www.journals.elsevier.com/regulatory-toxicology-and-pharmacology</w:t>
        </w:r>
      </w:hyperlink>
      <w:r w:rsidRPr="00CF2174">
        <w:rPr>
          <w:rFonts w:cstheme="minorHAnsi"/>
          <w:sz w:val="20"/>
          <w:szCs w:val="20"/>
        </w:rPr>
        <w:t xml:space="preserve">. </w:t>
      </w:r>
    </w:p>
    <w:p w:rsidR="00B44369" w:rsidRDefault="00B44369" w:rsidP="00DE09EE">
      <w:pPr>
        <w:spacing w:after="0"/>
        <w:jc w:val="both"/>
        <w:rPr>
          <w:sz w:val="20"/>
          <w:szCs w:val="20"/>
        </w:rPr>
      </w:pPr>
    </w:p>
    <w:p w:rsidR="00AC312E" w:rsidRDefault="00B44369" w:rsidP="00DE09EE">
      <w:pPr>
        <w:spacing w:after="0"/>
        <w:jc w:val="both"/>
        <w:rPr>
          <w:sz w:val="20"/>
          <w:szCs w:val="20"/>
        </w:rPr>
      </w:pPr>
      <w:r w:rsidRPr="00B44369">
        <w:rPr>
          <w:sz w:val="20"/>
          <w:szCs w:val="20"/>
        </w:rPr>
        <w:t>The European Fuel Oxygenates Association is a sector group of CEFIC, the European Chemical Industry Council.</w:t>
      </w:r>
    </w:p>
    <w:p w:rsidR="00CF2174" w:rsidRDefault="00CF2174" w:rsidP="00B44369">
      <w:pPr>
        <w:jc w:val="both"/>
        <w:rPr>
          <w:rFonts w:cstheme="minorHAnsi"/>
          <w:b/>
          <w:sz w:val="20"/>
          <w:szCs w:val="20"/>
        </w:rPr>
      </w:pPr>
    </w:p>
    <w:p w:rsidR="00B44369" w:rsidRPr="00B0471C" w:rsidRDefault="00B44369" w:rsidP="00B44369">
      <w:pPr>
        <w:jc w:val="both"/>
        <w:rPr>
          <w:rFonts w:cstheme="minorHAnsi"/>
          <w:b/>
          <w:sz w:val="20"/>
          <w:szCs w:val="20"/>
        </w:rPr>
      </w:pPr>
      <w:r w:rsidRPr="00B0471C">
        <w:rPr>
          <w:rFonts w:cstheme="minorHAnsi"/>
          <w:b/>
          <w:sz w:val="20"/>
          <w:szCs w:val="20"/>
        </w:rPr>
        <w:t>For more information, please contact:</w:t>
      </w:r>
    </w:p>
    <w:p w:rsidR="00B44369" w:rsidRPr="003A6434" w:rsidRDefault="00B44369" w:rsidP="00B44369">
      <w:pPr>
        <w:spacing w:after="120" w:line="240" w:lineRule="auto"/>
        <w:jc w:val="both"/>
        <w:rPr>
          <w:rFonts w:cstheme="minorHAnsi"/>
          <w:sz w:val="20"/>
          <w:szCs w:val="20"/>
          <w:lang w:val="nl-BE"/>
        </w:rPr>
      </w:pPr>
      <w:r w:rsidRPr="003A6434">
        <w:rPr>
          <w:rFonts w:cstheme="minorHAnsi"/>
          <w:sz w:val="20"/>
          <w:szCs w:val="20"/>
          <w:lang w:val="nl-BE"/>
        </w:rPr>
        <w:t>Ms. Claire Schonbach</w:t>
      </w:r>
    </w:p>
    <w:p w:rsidR="00B44369" w:rsidRPr="003A6434" w:rsidRDefault="00B44369" w:rsidP="00B44369">
      <w:pPr>
        <w:spacing w:after="120" w:line="240" w:lineRule="auto"/>
        <w:jc w:val="both"/>
        <w:rPr>
          <w:rFonts w:cstheme="minorHAnsi"/>
          <w:sz w:val="20"/>
          <w:szCs w:val="20"/>
          <w:lang w:val="nl-BE"/>
        </w:rPr>
      </w:pPr>
      <w:r w:rsidRPr="003A6434">
        <w:rPr>
          <w:rFonts w:cstheme="minorHAnsi"/>
          <w:sz w:val="20"/>
          <w:szCs w:val="20"/>
          <w:lang w:val="nl-BE"/>
        </w:rPr>
        <w:t>EFOA</w:t>
      </w:r>
    </w:p>
    <w:p w:rsidR="00B44369" w:rsidRPr="003A6434" w:rsidRDefault="00B44369" w:rsidP="00B44369">
      <w:pPr>
        <w:spacing w:after="120" w:line="240" w:lineRule="auto"/>
        <w:jc w:val="both"/>
        <w:rPr>
          <w:rFonts w:cstheme="minorHAnsi"/>
          <w:sz w:val="20"/>
          <w:szCs w:val="20"/>
          <w:lang w:val="nl-BE"/>
        </w:rPr>
      </w:pPr>
      <w:r w:rsidRPr="003A6434">
        <w:rPr>
          <w:rFonts w:cstheme="minorHAnsi"/>
          <w:sz w:val="20"/>
          <w:szCs w:val="20"/>
          <w:lang w:val="nl-BE"/>
        </w:rPr>
        <w:t xml:space="preserve">Avenue E. Van </w:t>
      </w:r>
      <w:proofErr w:type="spellStart"/>
      <w:r w:rsidRPr="003A6434">
        <w:rPr>
          <w:rFonts w:cstheme="minorHAnsi"/>
          <w:sz w:val="20"/>
          <w:szCs w:val="20"/>
          <w:lang w:val="nl-BE"/>
        </w:rPr>
        <w:t>Nieuwenhuyse</w:t>
      </w:r>
      <w:proofErr w:type="spellEnd"/>
      <w:r w:rsidRPr="003A6434">
        <w:rPr>
          <w:rFonts w:cstheme="minorHAnsi"/>
          <w:sz w:val="20"/>
          <w:szCs w:val="20"/>
          <w:lang w:val="nl-BE"/>
        </w:rPr>
        <w:t xml:space="preserve"> 4</w:t>
      </w:r>
    </w:p>
    <w:p w:rsidR="00B44369" w:rsidRPr="003A6434" w:rsidRDefault="00B44369" w:rsidP="00B44369">
      <w:pPr>
        <w:spacing w:after="120" w:line="240" w:lineRule="auto"/>
        <w:jc w:val="both"/>
        <w:rPr>
          <w:rFonts w:cstheme="minorHAnsi"/>
          <w:sz w:val="20"/>
          <w:szCs w:val="20"/>
          <w:lang w:val="de-DE"/>
        </w:rPr>
      </w:pPr>
      <w:r w:rsidRPr="003A6434">
        <w:rPr>
          <w:rFonts w:cstheme="minorHAnsi"/>
          <w:sz w:val="20"/>
          <w:szCs w:val="20"/>
          <w:lang w:val="de-DE"/>
        </w:rPr>
        <w:t xml:space="preserve">B - 1160 </w:t>
      </w:r>
      <w:proofErr w:type="spellStart"/>
      <w:r w:rsidRPr="003A6434">
        <w:rPr>
          <w:rFonts w:cstheme="minorHAnsi"/>
          <w:sz w:val="20"/>
          <w:szCs w:val="20"/>
          <w:lang w:val="de-DE"/>
        </w:rPr>
        <w:t>Brussels</w:t>
      </w:r>
      <w:proofErr w:type="spellEnd"/>
      <w:r w:rsidRPr="003A6434">
        <w:rPr>
          <w:rFonts w:cstheme="minorHAnsi"/>
          <w:sz w:val="20"/>
          <w:szCs w:val="20"/>
          <w:lang w:val="de-DE"/>
        </w:rPr>
        <w:t>, Belgium</w:t>
      </w:r>
    </w:p>
    <w:p w:rsidR="00B44369" w:rsidRPr="003A6434" w:rsidRDefault="00B44369" w:rsidP="00B44369">
      <w:pPr>
        <w:spacing w:after="120" w:line="240" w:lineRule="auto"/>
        <w:jc w:val="both"/>
        <w:rPr>
          <w:rFonts w:cstheme="minorHAnsi"/>
          <w:sz w:val="20"/>
          <w:szCs w:val="20"/>
          <w:lang w:val="de-DE"/>
        </w:rPr>
      </w:pPr>
      <w:r w:rsidRPr="003A6434">
        <w:rPr>
          <w:rFonts w:cstheme="minorHAnsi"/>
          <w:sz w:val="20"/>
          <w:szCs w:val="20"/>
          <w:lang w:val="de-DE"/>
        </w:rPr>
        <w:t>Tel. +32 2 676 7410</w:t>
      </w:r>
    </w:p>
    <w:p w:rsidR="00B44369" w:rsidRPr="003A6434" w:rsidRDefault="00B44369" w:rsidP="00B44369">
      <w:pPr>
        <w:spacing w:after="120" w:line="240" w:lineRule="auto"/>
        <w:jc w:val="both"/>
        <w:rPr>
          <w:rFonts w:cstheme="minorHAnsi"/>
          <w:sz w:val="20"/>
          <w:szCs w:val="20"/>
          <w:lang w:val="de-DE"/>
        </w:rPr>
      </w:pPr>
      <w:r w:rsidRPr="003A6434">
        <w:rPr>
          <w:rFonts w:cstheme="minorHAnsi"/>
          <w:sz w:val="20"/>
          <w:szCs w:val="20"/>
          <w:lang w:val="de-DE"/>
        </w:rPr>
        <w:t>Fax +32 2 676 7216</w:t>
      </w:r>
    </w:p>
    <w:p w:rsidR="00512D08" w:rsidRPr="00DE09EE" w:rsidRDefault="00B44369" w:rsidP="00B44369">
      <w:pPr>
        <w:spacing w:after="120" w:line="240" w:lineRule="auto"/>
        <w:jc w:val="both"/>
        <w:rPr>
          <w:sz w:val="20"/>
          <w:szCs w:val="20"/>
          <w:lang w:val="fr-BE"/>
        </w:rPr>
      </w:pPr>
      <w:r w:rsidRPr="00B44369">
        <w:rPr>
          <w:rFonts w:cstheme="minorHAnsi"/>
          <w:sz w:val="20"/>
          <w:szCs w:val="20"/>
          <w:lang w:val="fr-BE"/>
        </w:rPr>
        <w:lastRenderedPageBreak/>
        <w:t>E-mail: info@efoa.eu</w:t>
      </w:r>
    </w:p>
    <w:sectPr w:rsidR="00512D08" w:rsidRPr="00DE09E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028" w:rsidRDefault="002C1028" w:rsidP="008422C3">
      <w:pPr>
        <w:spacing w:after="0" w:line="240" w:lineRule="auto"/>
      </w:pPr>
      <w:r>
        <w:separator/>
      </w:r>
    </w:p>
  </w:endnote>
  <w:endnote w:type="continuationSeparator" w:id="0">
    <w:p w:rsidR="002C1028" w:rsidRDefault="002C1028" w:rsidP="00842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028" w:rsidRDefault="002C1028" w:rsidP="008422C3">
      <w:pPr>
        <w:spacing w:after="0" w:line="240" w:lineRule="auto"/>
      </w:pPr>
      <w:r>
        <w:separator/>
      </w:r>
    </w:p>
  </w:footnote>
  <w:footnote w:type="continuationSeparator" w:id="0">
    <w:p w:rsidR="002C1028" w:rsidRDefault="002C1028" w:rsidP="00842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2C3" w:rsidRDefault="00841928" w:rsidP="008422C3">
    <w:pPr>
      <w:pStyle w:val="Head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0C13954B" wp14:editId="665310AC">
          <wp:simplePos x="0" y="0"/>
          <wp:positionH relativeFrom="column">
            <wp:posOffset>5143500</wp:posOffset>
          </wp:positionH>
          <wp:positionV relativeFrom="paragraph">
            <wp:posOffset>-120650</wp:posOffset>
          </wp:positionV>
          <wp:extent cx="844550" cy="815975"/>
          <wp:effectExtent l="0" t="0" r="0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O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550" cy="815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7B"/>
    <w:rsid w:val="00034360"/>
    <w:rsid w:val="00043DA9"/>
    <w:rsid w:val="00053953"/>
    <w:rsid w:val="000745C1"/>
    <w:rsid w:val="000945F9"/>
    <w:rsid w:val="001260AF"/>
    <w:rsid w:val="001350D2"/>
    <w:rsid w:val="001F12D1"/>
    <w:rsid w:val="00246099"/>
    <w:rsid w:val="002C1028"/>
    <w:rsid w:val="002D7479"/>
    <w:rsid w:val="0033007A"/>
    <w:rsid w:val="003408C2"/>
    <w:rsid w:val="003A6434"/>
    <w:rsid w:val="003F003A"/>
    <w:rsid w:val="0041063B"/>
    <w:rsid w:val="004122ED"/>
    <w:rsid w:val="00412D75"/>
    <w:rsid w:val="004538EB"/>
    <w:rsid w:val="0049547A"/>
    <w:rsid w:val="00495825"/>
    <w:rsid w:val="00512D08"/>
    <w:rsid w:val="0056577B"/>
    <w:rsid w:val="0068414B"/>
    <w:rsid w:val="0070141F"/>
    <w:rsid w:val="00804357"/>
    <w:rsid w:val="00841928"/>
    <w:rsid w:val="008422C3"/>
    <w:rsid w:val="008B6F39"/>
    <w:rsid w:val="008C0B43"/>
    <w:rsid w:val="00956B0C"/>
    <w:rsid w:val="00975A14"/>
    <w:rsid w:val="00980874"/>
    <w:rsid w:val="00A16335"/>
    <w:rsid w:val="00A553B3"/>
    <w:rsid w:val="00A62FC4"/>
    <w:rsid w:val="00A9461A"/>
    <w:rsid w:val="00A94E61"/>
    <w:rsid w:val="00AC312E"/>
    <w:rsid w:val="00B0471C"/>
    <w:rsid w:val="00B44369"/>
    <w:rsid w:val="00B765D7"/>
    <w:rsid w:val="00BC25EA"/>
    <w:rsid w:val="00C31915"/>
    <w:rsid w:val="00C33A4A"/>
    <w:rsid w:val="00C53824"/>
    <w:rsid w:val="00CD4A73"/>
    <w:rsid w:val="00CE09B6"/>
    <w:rsid w:val="00CF2174"/>
    <w:rsid w:val="00D0560D"/>
    <w:rsid w:val="00D8047E"/>
    <w:rsid w:val="00DC2DE8"/>
    <w:rsid w:val="00DE09EE"/>
    <w:rsid w:val="00F7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745C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2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2C3"/>
  </w:style>
  <w:style w:type="paragraph" w:styleId="Footer">
    <w:name w:val="footer"/>
    <w:basedOn w:val="Normal"/>
    <w:link w:val="FooterChar"/>
    <w:uiPriority w:val="99"/>
    <w:unhideWhenUsed/>
    <w:rsid w:val="00842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2C3"/>
  </w:style>
  <w:style w:type="paragraph" w:styleId="BalloonText">
    <w:name w:val="Balloon Text"/>
    <w:basedOn w:val="Normal"/>
    <w:link w:val="BalloonTextChar"/>
    <w:uiPriority w:val="99"/>
    <w:semiHidden/>
    <w:unhideWhenUsed/>
    <w:rsid w:val="00842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2C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12D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D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D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D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D7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745C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2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2C3"/>
  </w:style>
  <w:style w:type="paragraph" w:styleId="Footer">
    <w:name w:val="footer"/>
    <w:basedOn w:val="Normal"/>
    <w:link w:val="FooterChar"/>
    <w:uiPriority w:val="99"/>
    <w:unhideWhenUsed/>
    <w:rsid w:val="00842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2C3"/>
  </w:style>
  <w:style w:type="paragraph" w:styleId="BalloonText">
    <w:name w:val="Balloon Text"/>
    <w:basedOn w:val="Normal"/>
    <w:link w:val="BalloonTextChar"/>
    <w:uiPriority w:val="99"/>
    <w:semiHidden/>
    <w:unhideWhenUsed/>
    <w:rsid w:val="00842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2C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12D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D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D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D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D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4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ournals.elsevier.com/regulatory-toxicology-and-pharmacolog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2269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Fleishman-Hillard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L Hopital</dc:creator>
  <cp:lastModifiedBy>awh</cp:lastModifiedBy>
  <cp:revision>2</cp:revision>
  <dcterms:created xsi:type="dcterms:W3CDTF">2015-02-23T15:23:00Z</dcterms:created>
  <dcterms:modified xsi:type="dcterms:W3CDTF">2015-02-23T15:23:00Z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