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4" w:rsidRDefault="00DC0651" w:rsidP="00A24FA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A02B1E" w:rsidRPr="00D5374C" w:rsidRDefault="00A24FA0" w:rsidP="00A24FA0">
      <w:pPr>
        <w:jc w:val="center"/>
        <w:rPr>
          <w:b/>
          <w:i/>
          <w:sz w:val="28"/>
          <w:szCs w:val="28"/>
        </w:rPr>
      </w:pPr>
      <w:r w:rsidRPr="00D5374C">
        <w:rPr>
          <w:b/>
          <w:i/>
          <w:sz w:val="28"/>
          <w:szCs w:val="28"/>
        </w:rPr>
        <w:t>Press release</w:t>
      </w:r>
    </w:p>
    <w:p w:rsidR="00CB7A7A" w:rsidRPr="00D5374C" w:rsidRDefault="00CB7A7A" w:rsidP="00CB7A7A">
      <w:pPr>
        <w:jc w:val="center"/>
        <w:rPr>
          <w:b/>
          <w:sz w:val="28"/>
          <w:szCs w:val="28"/>
        </w:rPr>
      </w:pPr>
      <w:r w:rsidRPr="00D5374C">
        <w:rPr>
          <w:b/>
          <w:sz w:val="28"/>
          <w:szCs w:val="28"/>
        </w:rPr>
        <w:t>« MAKING THE RIGHT CHOICES FOR EU BIOFUELS POLICY »</w:t>
      </w:r>
    </w:p>
    <w:p w:rsidR="00DB56B8" w:rsidRPr="00D5374C" w:rsidRDefault="009A6017" w:rsidP="00095BB1">
      <w:pPr>
        <w:jc w:val="center"/>
        <w:rPr>
          <w:b/>
          <w:sz w:val="28"/>
          <w:szCs w:val="28"/>
        </w:rPr>
      </w:pPr>
      <w:r w:rsidRPr="00D5374C">
        <w:rPr>
          <w:b/>
          <w:sz w:val="28"/>
          <w:szCs w:val="28"/>
        </w:rPr>
        <w:t>--</w:t>
      </w:r>
      <w:r w:rsidR="00AB0619" w:rsidRPr="00D5374C">
        <w:rPr>
          <w:b/>
          <w:sz w:val="28"/>
          <w:szCs w:val="28"/>
        </w:rPr>
        <w:t xml:space="preserve"> </w:t>
      </w:r>
      <w:r w:rsidRPr="00D5374C">
        <w:rPr>
          <w:b/>
          <w:sz w:val="28"/>
          <w:szCs w:val="28"/>
        </w:rPr>
        <w:t>EFOA LUNCH DEBATE</w:t>
      </w:r>
      <w:r w:rsidR="00AA0AB8" w:rsidRPr="00D5374C">
        <w:rPr>
          <w:b/>
          <w:sz w:val="28"/>
          <w:szCs w:val="28"/>
        </w:rPr>
        <w:t>—</w:t>
      </w:r>
    </w:p>
    <w:p w:rsidR="00AA0AB8" w:rsidRPr="00AA7A56" w:rsidRDefault="00AA0AB8" w:rsidP="00095BB1">
      <w:pPr>
        <w:jc w:val="center"/>
        <w:rPr>
          <w:sz w:val="26"/>
          <w:szCs w:val="26"/>
        </w:rPr>
      </w:pPr>
    </w:p>
    <w:p w:rsidR="00C75E19" w:rsidRPr="00D5374C" w:rsidRDefault="00DB56B8" w:rsidP="005A6D76">
      <w:pPr>
        <w:pStyle w:val="ListParagraph"/>
        <w:tabs>
          <w:tab w:val="left" w:pos="142"/>
        </w:tabs>
        <w:ind w:left="0"/>
        <w:jc w:val="both"/>
        <w:rPr>
          <w:sz w:val="24"/>
          <w:szCs w:val="24"/>
        </w:rPr>
      </w:pPr>
      <w:r w:rsidRPr="00D5374C">
        <w:rPr>
          <w:i/>
          <w:sz w:val="24"/>
          <w:szCs w:val="24"/>
        </w:rPr>
        <w:t>Brussels,</w:t>
      </w:r>
      <w:r w:rsidR="00D50662" w:rsidRPr="00D5374C">
        <w:rPr>
          <w:i/>
          <w:sz w:val="24"/>
          <w:szCs w:val="24"/>
        </w:rPr>
        <w:t xml:space="preserve"> 26</w:t>
      </w:r>
      <w:r w:rsidRPr="00D5374C">
        <w:rPr>
          <w:i/>
          <w:sz w:val="24"/>
          <w:szCs w:val="24"/>
        </w:rPr>
        <w:t xml:space="preserve"> June 2013</w:t>
      </w:r>
      <w:r w:rsidRPr="00D5374C">
        <w:rPr>
          <w:sz w:val="24"/>
          <w:szCs w:val="24"/>
        </w:rPr>
        <w:t xml:space="preserve"> </w:t>
      </w:r>
      <w:r w:rsidR="00A61B02" w:rsidRPr="00D5374C">
        <w:rPr>
          <w:sz w:val="24"/>
          <w:szCs w:val="24"/>
        </w:rPr>
        <w:t>–</w:t>
      </w:r>
      <w:r w:rsidRPr="00D5374C">
        <w:rPr>
          <w:sz w:val="24"/>
          <w:szCs w:val="24"/>
        </w:rPr>
        <w:t xml:space="preserve"> Key MEPs and European Commission representatives attended an EFOA lunch debate organised at the European Parliament on 19 June 2013. The event was hosted by </w:t>
      </w:r>
      <w:r w:rsidRPr="00D5374C">
        <w:rPr>
          <w:b/>
          <w:sz w:val="24"/>
          <w:szCs w:val="24"/>
        </w:rPr>
        <w:t xml:space="preserve">MEP Julie </w:t>
      </w:r>
      <w:proofErr w:type="spellStart"/>
      <w:r w:rsidRPr="00D5374C">
        <w:rPr>
          <w:b/>
          <w:sz w:val="24"/>
          <w:szCs w:val="24"/>
        </w:rPr>
        <w:t>Girling</w:t>
      </w:r>
      <w:proofErr w:type="spellEnd"/>
      <w:r w:rsidRPr="00D5374C">
        <w:rPr>
          <w:sz w:val="24"/>
          <w:szCs w:val="24"/>
        </w:rPr>
        <w:t xml:space="preserve">, ECR Shadow Rapporteur on the ILUC dossier for the Environment Committee (ENVI), and co-hosted by </w:t>
      </w:r>
      <w:r w:rsidRPr="00D5374C">
        <w:rPr>
          <w:b/>
          <w:sz w:val="24"/>
          <w:szCs w:val="24"/>
        </w:rPr>
        <w:t>MEP Britta Thomsen</w:t>
      </w:r>
      <w:r w:rsidRPr="00D5374C">
        <w:rPr>
          <w:sz w:val="24"/>
          <w:szCs w:val="24"/>
        </w:rPr>
        <w:t>, S&amp;D Shadow Rapporteur for the Industry and Energy Committee (ITRE).</w:t>
      </w:r>
    </w:p>
    <w:p w:rsidR="00C75E19" w:rsidRPr="00D5374C" w:rsidRDefault="00C75E19" w:rsidP="005A6D76">
      <w:pPr>
        <w:pStyle w:val="ListParagraph"/>
        <w:tabs>
          <w:tab w:val="left" w:pos="142"/>
        </w:tabs>
        <w:ind w:left="0"/>
        <w:jc w:val="both"/>
        <w:rPr>
          <w:sz w:val="24"/>
          <w:szCs w:val="24"/>
        </w:rPr>
      </w:pPr>
    </w:p>
    <w:p w:rsidR="009A6017" w:rsidRPr="00D5374C" w:rsidRDefault="00A61B02" w:rsidP="00D0257E">
      <w:pPr>
        <w:pStyle w:val="ListParagraph"/>
        <w:tabs>
          <w:tab w:val="left" w:pos="142"/>
        </w:tabs>
        <w:ind w:left="0"/>
        <w:jc w:val="both"/>
        <w:rPr>
          <w:sz w:val="24"/>
          <w:szCs w:val="24"/>
        </w:rPr>
      </w:pPr>
      <w:r w:rsidRPr="00D5374C">
        <w:rPr>
          <w:sz w:val="24"/>
          <w:szCs w:val="24"/>
        </w:rPr>
        <w:t>Through the</w:t>
      </w:r>
      <w:r w:rsidR="00CE117F" w:rsidRPr="00D5374C">
        <w:rPr>
          <w:sz w:val="24"/>
          <w:szCs w:val="24"/>
        </w:rPr>
        <w:t xml:space="preserve"> Indirect Land Use Change (ILUC) proposal</w:t>
      </w:r>
      <w:r w:rsidR="005942DE" w:rsidRPr="00D5374C">
        <w:rPr>
          <w:sz w:val="24"/>
          <w:szCs w:val="24"/>
        </w:rPr>
        <w:t>,</w:t>
      </w:r>
      <w:r w:rsidR="00B75BFF" w:rsidRPr="00D5374C">
        <w:rPr>
          <w:sz w:val="24"/>
          <w:szCs w:val="24"/>
        </w:rPr>
        <w:t xml:space="preserve"> which amends the Fuel Quality Directive</w:t>
      </w:r>
      <w:r w:rsidR="00A64B61" w:rsidRPr="00D5374C">
        <w:rPr>
          <w:sz w:val="24"/>
          <w:szCs w:val="24"/>
        </w:rPr>
        <w:t xml:space="preserve"> (FQD)</w:t>
      </w:r>
      <w:r w:rsidR="00B75BFF" w:rsidRPr="00D5374C">
        <w:rPr>
          <w:sz w:val="24"/>
          <w:szCs w:val="24"/>
        </w:rPr>
        <w:t xml:space="preserve"> and the Renewable Energy Directive</w:t>
      </w:r>
      <w:r w:rsidR="00A64B61" w:rsidRPr="00D5374C">
        <w:rPr>
          <w:sz w:val="24"/>
          <w:szCs w:val="24"/>
        </w:rPr>
        <w:t xml:space="preserve"> (RED)</w:t>
      </w:r>
      <w:r w:rsidR="00B75BFF" w:rsidRPr="00D5374C">
        <w:rPr>
          <w:sz w:val="24"/>
          <w:szCs w:val="24"/>
        </w:rPr>
        <w:t>,</w:t>
      </w:r>
      <w:r w:rsidR="00CE117F" w:rsidRPr="00D5374C">
        <w:rPr>
          <w:sz w:val="24"/>
          <w:szCs w:val="24"/>
        </w:rPr>
        <w:t xml:space="preserve"> t</w:t>
      </w:r>
      <w:r w:rsidR="00C97D0D" w:rsidRPr="00D5374C">
        <w:rPr>
          <w:sz w:val="24"/>
          <w:szCs w:val="24"/>
        </w:rPr>
        <w:t xml:space="preserve">he European Union is currently looking for ways to make </w:t>
      </w:r>
      <w:r w:rsidR="00B75BFF" w:rsidRPr="00D5374C">
        <w:rPr>
          <w:sz w:val="24"/>
          <w:szCs w:val="24"/>
        </w:rPr>
        <w:t>Europe</w:t>
      </w:r>
      <w:r w:rsidR="00C97D0D" w:rsidRPr="00D5374C">
        <w:rPr>
          <w:sz w:val="24"/>
          <w:szCs w:val="24"/>
        </w:rPr>
        <w:t xml:space="preserve"> more climate-friendly</w:t>
      </w:r>
      <w:r w:rsidR="00B75BFF" w:rsidRPr="00D5374C">
        <w:rPr>
          <w:sz w:val="24"/>
          <w:szCs w:val="24"/>
        </w:rPr>
        <w:t xml:space="preserve"> </w:t>
      </w:r>
      <w:r w:rsidR="00CE117F" w:rsidRPr="00D5374C">
        <w:rPr>
          <w:sz w:val="24"/>
          <w:szCs w:val="24"/>
        </w:rPr>
        <w:t>by strengthening the policy framework on advanced biofuels and greenhouse gas savings</w:t>
      </w:r>
      <w:r w:rsidR="00C97D0D" w:rsidRPr="00D5374C">
        <w:rPr>
          <w:sz w:val="24"/>
          <w:szCs w:val="24"/>
        </w:rPr>
        <w:t xml:space="preserve">.  </w:t>
      </w:r>
      <w:r w:rsidR="009A6017" w:rsidRPr="00D5374C">
        <w:rPr>
          <w:i/>
          <w:sz w:val="24"/>
          <w:szCs w:val="24"/>
        </w:rPr>
        <w:t>“</w:t>
      </w:r>
      <w:r w:rsidR="00DB56B8" w:rsidRPr="00D5374C">
        <w:rPr>
          <w:i/>
          <w:sz w:val="24"/>
          <w:szCs w:val="24"/>
        </w:rPr>
        <w:t xml:space="preserve">Making the right choices </w:t>
      </w:r>
      <w:r w:rsidR="00A24FA0" w:rsidRPr="00D5374C">
        <w:rPr>
          <w:i/>
          <w:sz w:val="24"/>
          <w:szCs w:val="24"/>
        </w:rPr>
        <w:t>on b</w:t>
      </w:r>
      <w:r w:rsidR="00DB56B8" w:rsidRPr="00D5374C">
        <w:rPr>
          <w:i/>
          <w:sz w:val="24"/>
          <w:szCs w:val="24"/>
        </w:rPr>
        <w:t xml:space="preserve">iofuels </w:t>
      </w:r>
      <w:r w:rsidR="00A24FA0" w:rsidRPr="00D5374C">
        <w:rPr>
          <w:i/>
          <w:sz w:val="24"/>
          <w:szCs w:val="24"/>
        </w:rPr>
        <w:t>quality is the only way forward</w:t>
      </w:r>
      <w:r w:rsidR="00CE117F" w:rsidRPr="00D5374C">
        <w:rPr>
          <w:i/>
          <w:sz w:val="24"/>
          <w:szCs w:val="24"/>
        </w:rPr>
        <w:t xml:space="preserve"> </w:t>
      </w:r>
      <w:r w:rsidR="00C75E19" w:rsidRPr="00D5374C">
        <w:rPr>
          <w:i/>
          <w:sz w:val="24"/>
          <w:szCs w:val="24"/>
        </w:rPr>
        <w:t>to target</w:t>
      </w:r>
      <w:r w:rsidR="00CE117F" w:rsidRPr="00D5374C">
        <w:rPr>
          <w:i/>
          <w:sz w:val="24"/>
          <w:szCs w:val="24"/>
        </w:rPr>
        <w:t xml:space="preserve"> climate friendly solution</w:t>
      </w:r>
      <w:r w:rsidR="00A64B61" w:rsidRPr="00D5374C">
        <w:rPr>
          <w:i/>
          <w:sz w:val="24"/>
          <w:szCs w:val="24"/>
        </w:rPr>
        <w:t>s</w:t>
      </w:r>
      <w:r w:rsidR="009A6017" w:rsidRPr="00D5374C">
        <w:rPr>
          <w:i/>
          <w:sz w:val="24"/>
          <w:szCs w:val="24"/>
        </w:rPr>
        <w:t>”</w:t>
      </w:r>
      <w:r w:rsidR="00C75E19" w:rsidRPr="00D5374C">
        <w:rPr>
          <w:sz w:val="24"/>
          <w:szCs w:val="24"/>
        </w:rPr>
        <w:t xml:space="preserve"> sa</w:t>
      </w:r>
      <w:r w:rsidR="00DA2614" w:rsidRPr="00D5374C">
        <w:rPr>
          <w:sz w:val="24"/>
          <w:szCs w:val="24"/>
        </w:rPr>
        <w:t>ys</w:t>
      </w:r>
      <w:r w:rsidR="00CE117F" w:rsidRPr="00D5374C">
        <w:rPr>
          <w:sz w:val="24"/>
          <w:szCs w:val="24"/>
        </w:rPr>
        <w:t xml:space="preserve"> </w:t>
      </w:r>
      <w:r w:rsidR="00CE117F" w:rsidRPr="00D5374C">
        <w:rPr>
          <w:b/>
          <w:sz w:val="24"/>
          <w:szCs w:val="24"/>
        </w:rPr>
        <w:t>EFOA Chairman</w:t>
      </w:r>
      <w:r w:rsidR="00C75E19" w:rsidRPr="00D5374C">
        <w:rPr>
          <w:b/>
          <w:sz w:val="24"/>
          <w:szCs w:val="24"/>
        </w:rPr>
        <w:t xml:space="preserve"> Bruno Héry</w:t>
      </w:r>
      <w:r w:rsidR="00C97D0D" w:rsidRPr="00D5374C">
        <w:rPr>
          <w:sz w:val="24"/>
          <w:szCs w:val="24"/>
        </w:rPr>
        <w:t xml:space="preserve">. </w:t>
      </w:r>
      <w:r w:rsidR="00C97D0D" w:rsidRPr="00D5374C">
        <w:rPr>
          <w:i/>
          <w:sz w:val="24"/>
          <w:szCs w:val="24"/>
        </w:rPr>
        <w:t>“Fuel ethers are advanced biofuels</w:t>
      </w:r>
      <w:r w:rsidR="00095BB1" w:rsidRPr="00D5374C">
        <w:rPr>
          <w:i/>
          <w:sz w:val="24"/>
          <w:szCs w:val="24"/>
        </w:rPr>
        <w:t xml:space="preserve"> that </w:t>
      </w:r>
      <w:r w:rsidR="00C97D0D" w:rsidRPr="00D5374C">
        <w:rPr>
          <w:i/>
          <w:sz w:val="24"/>
          <w:szCs w:val="24"/>
        </w:rPr>
        <w:t xml:space="preserve">provide energy for road transport with </w:t>
      </w:r>
      <w:r w:rsidR="00DB5A6A" w:rsidRPr="00D5374C">
        <w:rPr>
          <w:i/>
          <w:sz w:val="24"/>
          <w:szCs w:val="24"/>
        </w:rPr>
        <w:t>real</w:t>
      </w:r>
      <w:r w:rsidR="00C97D0D" w:rsidRPr="00D5374C">
        <w:rPr>
          <w:i/>
          <w:sz w:val="24"/>
          <w:szCs w:val="24"/>
        </w:rPr>
        <w:t xml:space="preserve"> improvements in air quality and </w:t>
      </w:r>
      <w:r w:rsidR="00DB5A6A" w:rsidRPr="00D5374C">
        <w:rPr>
          <w:i/>
          <w:sz w:val="24"/>
          <w:szCs w:val="24"/>
        </w:rPr>
        <w:t xml:space="preserve">reduction of </w:t>
      </w:r>
      <w:r w:rsidR="00C97D0D" w:rsidRPr="00D5374C">
        <w:rPr>
          <w:i/>
          <w:sz w:val="24"/>
          <w:szCs w:val="24"/>
        </w:rPr>
        <w:t>greenhouse gas emissions</w:t>
      </w:r>
      <w:r w:rsidR="00095BB1" w:rsidRPr="00D5374C">
        <w:rPr>
          <w:i/>
          <w:sz w:val="24"/>
          <w:szCs w:val="24"/>
        </w:rPr>
        <w:t xml:space="preserve">. Making the right choices on the quality of biofuels </w:t>
      </w:r>
      <w:r w:rsidR="00DA2614" w:rsidRPr="00D5374C">
        <w:rPr>
          <w:i/>
          <w:sz w:val="24"/>
          <w:szCs w:val="24"/>
        </w:rPr>
        <w:t xml:space="preserve">also </w:t>
      </w:r>
      <w:r w:rsidR="00095BB1" w:rsidRPr="00D5374C">
        <w:rPr>
          <w:i/>
          <w:sz w:val="24"/>
          <w:szCs w:val="24"/>
        </w:rPr>
        <w:t>implies looking at the total CO</w:t>
      </w:r>
      <w:r w:rsidR="00095BB1" w:rsidRPr="00D5374C">
        <w:rPr>
          <w:i/>
          <w:sz w:val="24"/>
          <w:szCs w:val="24"/>
          <w:vertAlign w:val="subscript"/>
        </w:rPr>
        <w:t>2</w:t>
      </w:r>
      <w:r w:rsidR="00095BB1" w:rsidRPr="00D5374C">
        <w:rPr>
          <w:i/>
          <w:sz w:val="24"/>
          <w:szCs w:val="24"/>
        </w:rPr>
        <w:t xml:space="preserve"> savings of each biofuel and their actual energy contribution</w:t>
      </w:r>
      <w:r w:rsidR="00095BB1" w:rsidRPr="00D5374C">
        <w:rPr>
          <w:sz w:val="24"/>
          <w:szCs w:val="24"/>
        </w:rPr>
        <w:t>.</w:t>
      </w:r>
      <w:r w:rsidR="00C97D0D" w:rsidRPr="00D5374C">
        <w:rPr>
          <w:sz w:val="24"/>
          <w:szCs w:val="24"/>
        </w:rPr>
        <w:t>”</w:t>
      </w:r>
    </w:p>
    <w:p w:rsidR="00A46F41" w:rsidRPr="00D5374C" w:rsidRDefault="00A46F41" w:rsidP="00D0257E">
      <w:pPr>
        <w:pStyle w:val="ListParagraph"/>
        <w:tabs>
          <w:tab w:val="left" w:pos="142"/>
        </w:tabs>
        <w:ind w:left="0"/>
        <w:jc w:val="both"/>
        <w:rPr>
          <w:sz w:val="24"/>
          <w:szCs w:val="24"/>
        </w:rPr>
      </w:pPr>
    </w:p>
    <w:p w:rsidR="00DA2614" w:rsidRPr="00D5374C" w:rsidRDefault="00A02B1E" w:rsidP="00D0257E">
      <w:pPr>
        <w:pStyle w:val="ListParagraph"/>
        <w:ind w:left="0"/>
        <w:jc w:val="both"/>
        <w:rPr>
          <w:sz w:val="24"/>
          <w:szCs w:val="24"/>
        </w:rPr>
      </w:pPr>
      <w:r w:rsidRPr="00D5374C">
        <w:rPr>
          <w:rFonts w:cstheme="minorHAnsi"/>
          <w:sz w:val="24"/>
          <w:szCs w:val="24"/>
        </w:rPr>
        <w:t>In such a polarised and complex legislative dossier, it is important to refocus the debate on scientific elements.</w:t>
      </w:r>
      <w:r w:rsidR="005A6D76" w:rsidRPr="00D5374C">
        <w:rPr>
          <w:rFonts w:cstheme="minorHAnsi"/>
          <w:sz w:val="24"/>
          <w:szCs w:val="24"/>
        </w:rPr>
        <w:t xml:space="preserve"> </w:t>
      </w:r>
      <w:r w:rsidR="007E3CF7" w:rsidRPr="00D5374C">
        <w:rPr>
          <w:rFonts w:cstheme="minorHAnsi"/>
          <w:sz w:val="24"/>
          <w:szCs w:val="24"/>
        </w:rPr>
        <w:t xml:space="preserve">Each biofuel must be evaluated on its own merits. </w:t>
      </w:r>
      <w:r w:rsidR="005A6D76" w:rsidRPr="00D5374C">
        <w:rPr>
          <w:sz w:val="24"/>
          <w:szCs w:val="24"/>
        </w:rPr>
        <w:t xml:space="preserve">Today, European legislation is incomplete as it does not address the full benefits of biofuels.  </w:t>
      </w:r>
      <w:r w:rsidR="007E3CF7" w:rsidRPr="00D5374C">
        <w:rPr>
          <w:sz w:val="24"/>
          <w:szCs w:val="24"/>
        </w:rPr>
        <w:t>T</w:t>
      </w:r>
      <w:r w:rsidR="00D0257E" w:rsidRPr="00D5374C">
        <w:rPr>
          <w:sz w:val="24"/>
          <w:szCs w:val="24"/>
        </w:rPr>
        <w:t>o be</w:t>
      </w:r>
      <w:r w:rsidR="00EB1B2C" w:rsidRPr="00D5374C">
        <w:rPr>
          <w:sz w:val="24"/>
          <w:szCs w:val="24"/>
        </w:rPr>
        <w:t xml:space="preserve"> comprehensive and consistent</w:t>
      </w:r>
      <w:r w:rsidR="007E3CF7" w:rsidRPr="00D5374C">
        <w:rPr>
          <w:sz w:val="24"/>
          <w:szCs w:val="24"/>
        </w:rPr>
        <w:t>,</w:t>
      </w:r>
      <w:r w:rsidR="00EB1B2C" w:rsidRPr="00D5374C">
        <w:rPr>
          <w:sz w:val="24"/>
          <w:szCs w:val="24"/>
        </w:rPr>
        <w:t xml:space="preserve"> </w:t>
      </w:r>
      <w:r w:rsidR="00DB5A6A" w:rsidRPr="00D5374C">
        <w:rPr>
          <w:sz w:val="24"/>
          <w:szCs w:val="24"/>
        </w:rPr>
        <w:t>it</w:t>
      </w:r>
      <w:r w:rsidR="00EB1B2C" w:rsidRPr="00D5374C">
        <w:rPr>
          <w:sz w:val="24"/>
          <w:szCs w:val="24"/>
        </w:rPr>
        <w:t xml:space="preserve"> needs to </w:t>
      </w:r>
      <w:r w:rsidR="00D0257E" w:rsidRPr="00D5374C">
        <w:rPr>
          <w:sz w:val="24"/>
          <w:szCs w:val="24"/>
        </w:rPr>
        <w:t xml:space="preserve">capture the </w:t>
      </w:r>
      <w:r w:rsidR="00EB1B2C" w:rsidRPr="00D5374C">
        <w:rPr>
          <w:sz w:val="24"/>
          <w:szCs w:val="24"/>
        </w:rPr>
        <w:t xml:space="preserve">full </w:t>
      </w:r>
      <w:r w:rsidR="005C4039" w:rsidRPr="00D5374C">
        <w:rPr>
          <w:sz w:val="24"/>
          <w:szCs w:val="24"/>
        </w:rPr>
        <w:t>CO</w:t>
      </w:r>
      <w:r w:rsidR="005C4039" w:rsidRPr="00D5374C">
        <w:rPr>
          <w:sz w:val="24"/>
          <w:szCs w:val="24"/>
          <w:vertAlign w:val="subscript"/>
        </w:rPr>
        <w:t>2</w:t>
      </w:r>
      <w:r w:rsidR="005C4039" w:rsidRPr="00D5374C">
        <w:rPr>
          <w:sz w:val="24"/>
          <w:szCs w:val="24"/>
        </w:rPr>
        <w:t xml:space="preserve"> performance o</w:t>
      </w:r>
      <w:r w:rsidR="007E3CF7" w:rsidRPr="00D5374C">
        <w:rPr>
          <w:sz w:val="24"/>
          <w:szCs w:val="24"/>
        </w:rPr>
        <w:t>ver</w:t>
      </w:r>
      <w:r w:rsidR="005C4039" w:rsidRPr="00D5374C">
        <w:rPr>
          <w:sz w:val="24"/>
          <w:szCs w:val="24"/>
        </w:rPr>
        <w:t xml:space="preserve"> the entire lifecycle of the fuel</w:t>
      </w:r>
      <w:r w:rsidR="009E14F4" w:rsidRPr="00D5374C">
        <w:rPr>
          <w:sz w:val="24"/>
          <w:szCs w:val="24"/>
        </w:rPr>
        <w:t xml:space="preserve"> (</w:t>
      </w:r>
      <w:r w:rsidR="007E3CF7" w:rsidRPr="00D5374C">
        <w:rPr>
          <w:sz w:val="24"/>
          <w:szCs w:val="24"/>
        </w:rPr>
        <w:t xml:space="preserve">from </w:t>
      </w:r>
      <w:r w:rsidR="009449D8">
        <w:rPr>
          <w:sz w:val="24"/>
          <w:szCs w:val="24"/>
        </w:rPr>
        <w:t xml:space="preserve">field- or </w:t>
      </w:r>
      <w:r w:rsidR="009E14F4" w:rsidRPr="00D5374C">
        <w:rPr>
          <w:sz w:val="24"/>
          <w:szCs w:val="24"/>
        </w:rPr>
        <w:t>well-to-wheel)</w:t>
      </w:r>
      <w:r w:rsidR="00D0257E" w:rsidRPr="00D5374C">
        <w:rPr>
          <w:sz w:val="24"/>
          <w:szCs w:val="24"/>
        </w:rPr>
        <w:t xml:space="preserve">, </w:t>
      </w:r>
      <w:r w:rsidR="007E3CF7" w:rsidRPr="00D5374C">
        <w:rPr>
          <w:sz w:val="24"/>
          <w:szCs w:val="24"/>
        </w:rPr>
        <w:t xml:space="preserve">and take due account of </w:t>
      </w:r>
      <w:r w:rsidR="009E14F4" w:rsidRPr="00D5374C">
        <w:rPr>
          <w:sz w:val="24"/>
          <w:szCs w:val="24"/>
        </w:rPr>
        <w:t>each biofuel</w:t>
      </w:r>
      <w:r w:rsidR="007E3CF7" w:rsidRPr="00D5374C">
        <w:rPr>
          <w:sz w:val="24"/>
          <w:szCs w:val="24"/>
        </w:rPr>
        <w:t xml:space="preserve">’s </w:t>
      </w:r>
      <w:r w:rsidR="00D0257E" w:rsidRPr="00D5374C">
        <w:rPr>
          <w:sz w:val="24"/>
          <w:szCs w:val="24"/>
        </w:rPr>
        <w:t xml:space="preserve">specific “bio energy” content.  </w:t>
      </w:r>
    </w:p>
    <w:p w:rsidR="00D0257E" w:rsidRPr="00D5374C" w:rsidRDefault="00D0257E" w:rsidP="00D0257E">
      <w:pPr>
        <w:pStyle w:val="ListParagraph"/>
        <w:ind w:left="0"/>
        <w:jc w:val="both"/>
        <w:rPr>
          <w:sz w:val="24"/>
          <w:szCs w:val="24"/>
        </w:rPr>
      </w:pPr>
    </w:p>
    <w:p w:rsidR="00DA2614" w:rsidRPr="00D5374C" w:rsidRDefault="00D0257E" w:rsidP="00D0257E">
      <w:pPr>
        <w:pStyle w:val="ListParagraph"/>
        <w:ind w:left="0"/>
        <w:jc w:val="both"/>
        <w:rPr>
          <w:sz w:val="24"/>
          <w:szCs w:val="24"/>
        </w:rPr>
      </w:pPr>
      <w:r w:rsidRPr="00D5374C">
        <w:rPr>
          <w:sz w:val="24"/>
          <w:szCs w:val="24"/>
        </w:rPr>
        <w:t xml:space="preserve">EFOA Chairman Bruno Héry added that these regulatory changes to the legislation can be accomplished with no costs, guaranteeing fair treatment between biofuels. </w:t>
      </w:r>
      <w:r w:rsidRPr="00D5374C">
        <w:rPr>
          <w:i/>
          <w:sz w:val="24"/>
          <w:szCs w:val="24"/>
        </w:rPr>
        <w:t xml:space="preserve">“It is crucial to decide now in a transparent manner, rather than leaving it to comitology,” </w:t>
      </w:r>
      <w:r w:rsidRPr="00D5374C">
        <w:rPr>
          <w:sz w:val="24"/>
          <w:szCs w:val="24"/>
        </w:rPr>
        <w:t xml:space="preserve">said Mr Héry. </w:t>
      </w:r>
    </w:p>
    <w:p w:rsidR="000F4F74" w:rsidRDefault="00DC0651" w:rsidP="00AA0AB8">
      <w:pPr>
        <w:jc w:val="both"/>
        <w:rPr>
          <w:i/>
          <w:sz w:val="24"/>
          <w:szCs w:val="24"/>
        </w:rPr>
      </w:pPr>
      <w:r>
        <w:rPr>
          <w:b/>
          <w:i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95BB1" w:rsidRPr="00336A44" w:rsidRDefault="00095BB1" w:rsidP="00AA0AB8">
      <w:pPr>
        <w:jc w:val="both"/>
      </w:pPr>
      <w:r w:rsidRPr="00336A44">
        <w:rPr>
          <w:i/>
        </w:rPr>
        <w:t xml:space="preserve">The European Fuel Oxygenates Association (EFOA) represents the European Fuel Ether industry in Europe. </w:t>
      </w:r>
      <w:r w:rsidR="007E3CF7" w:rsidRPr="00336A44">
        <w:rPr>
          <w:i/>
        </w:rPr>
        <w:t>Fuel ethers are made from renewable and alternative sources of energy, and provide technical and environmental benefits when blended with fuel. The fuel ether bio-ETBE is a derivative from bioethanol. About half of all bio-ethanol blended into gasoline in the EU is currently in the form of bio-ETBE. In addition, bio-MTBE is by far the largest commercially available advanced biofuel for gasoline blending.</w:t>
      </w:r>
      <w:r w:rsidR="00336A44" w:rsidRPr="00336A44">
        <w:t xml:space="preserve"> </w:t>
      </w:r>
      <w:r w:rsidR="00336A44" w:rsidRPr="00336A44">
        <w:rPr>
          <w:i/>
        </w:rPr>
        <w:t>EFOA operates under the umbrella of Cefic (the European Chemical Industry Council).</w:t>
      </w:r>
    </w:p>
    <w:sectPr w:rsidR="00095BB1" w:rsidRPr="00336A44" w:rsidSect="00CB7A7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43F" w:rsidRDefault="0024643F" w:rsidP="00CB7A7A">
      <w:pPr>
        <w:spacing w:after="0" w:line="240" w:lineRule="auto"/>
      </w:pPr>
      <w:r>
        <w:separator/>
      </w:r>
    </w:p>
  </w:endnote>
  <w:endnote w:type="continuationSeparator" w:id="0">
    <w:p w:rsidR="0024643F" w:rsidRDefault="0024643F" w:rsidP="00CB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E" w:rsidRPr="00095BB1" w:rsidRDefault="00A02B1E" w:rsidP="00095BB1">
    <w:pPr>
      <w:pStyle w:val="Footer"/>
      <w:jc w:val="center"/>
      <w:rPr>
        <w:b/>
        <w:sz w:val="18"/>
        <w:szCs w:val="18"/>
      </w:rPr>
    </w:pPr>
    <w:r w:rsidRPr="00095BB1">
      <w:rPr>
        <w:b/>
        <w:sz w:val="18"/>
        <w:szCs w:val="18"/>
      </w:rPr>
      <w:t>For further information on Fuel Ethers, please contact Dr G Wallace, Director General of EFOA at</w:t>
    </w:r>
  </w:p>
  <w:p w:rsidR="00A02B1E" w:rsidRPr="00095BB1" w:rsidRDefault="00DC0651" w:rsidP="00095BB1">
    <w:pPr>
      <w:pStyle w:val="Footer"/>
      <w:jc w:val="center"/>
      <w:rPr>
        <w:b/>
        <w:sz w:val="18"/>
        <w:szCs w:val="18"/>
        <w:lang w:val="nl-BE"/>
      </w:rPr>
    </w:pPr>
    <w:hyperlink r:id="rId1" w:history="1">
      <w:r w:rsidR="00A02B1E" w:rsidRPr="00095BB1">
        <w:rPr>
          <w:rStyle w:val="Hyperlink"/>
          <w:b/>
          <w:sz w:val="18"/>
          <w:szCs w:val="18"/>
          <w:lang w:val="nl-BE"/>
        </w:rPr>
        <w:t>Graeme.wallace@efoa.org</w:t>
      </w:r>
    </w:hyperlink>
    <w:r w:rsidR="00A02B1E" w:rsidRPr="00095BB1">
      <w:rPr>
        <w:b/>
        <w:sz w:val="18"/>
        <w:szCs w:val="18"/>
        <w:lang w:val="nl-BE"/>
      </w:rPr>
      <w:t xml:space="preserve"> – tel + 32(0)2 6767410 – Avenue E van </w:t>
    </w:r>
    <w:proofErr w:type="spellStart"/>
    <w:r w:rsidR="00A02B1E" w:rsidRPr="00095BB1">
      <w:rPr>
        <w:b/>
        <w:sz w:val="18"/>
        <w:szCs w:val="18"/>
        <w:lang w:val="nl-BE"/>
      </w:rPr>
      <w:t>Nieuwenhuyse</w:t>
    </w:r>
    <w:proofErr w:type="spellEnd"/>
    <w:r w:rsidR="00A02B1E" w:rsidRPr="00095BB1">
      <w:rPr>
        <w:b/>
        <w:sz w:val="18"/>
        <w:szCs w:val="18"/>
        <w:lang w:val="nl-BE"/>
      </w:rPr>
      <w:t xml:space="preserve"> 4, B – 1160 Brussels</w:t>
    </w:r>
  </w:p>
  <w:p w:rsidR="00A02B1E" w:rsidRPr="00095BB1" w:rsidRDefault="00DC0651" w:rsidP="00095BB1">
    <w:pPr>
      <w:pStyle w:val="Footer"/>
      <w:jc w:val="center"/>
      <w:rPr>
        <w:b/>
        <w:sz w:val="18"/>
        <w:szCs w:val="18"/>
        <w:lang w:val="nl-BE"/>
      </w:rPr>
    </w:pPr>
    <w:hyperlink r:id="rId2" w:history="1">
      <w:r w:rsidR="00A02B1E" w:rsidRPr="00095BB1">
        <w:rPr>
          <w:rStyle w:val="Hyperlink"/>
          <w:b/>
          <w:sz w:val="18"/>
          <w:szCs w:val="18"/>
          <w:lang w:val="nl-BE"/>
        </w:rPr>
        <w:t>www.efoa.eu</w:t>
      </w:r>
    </w:hyperlink>
  </w:p>
  <w:p w:rsidR="00A02B1E" w:rsidRPr="00095BB1" w:rsidRDefault="00A02B1E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43F" w:rsidRDefault="0024643F" w:rsidP="00CB7A7A">
      <w:pPr>
        <w:spacing w:after="0" w:line="240" w:lineRule="auto"/>
      </w:pPr>
      <w:r>
        <w:separator/>
      </w:r>
    </w:p>
  </w:footnote>
  <w:footnote w:type="continuationSeparator" w:id="0">
    <w:p w:rsidR="0024643F" w:rsidRDefault="0024643F" w:rsidP="00CB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E" w:rsidRDefault="00A02B1E">
    <w:pPr>
      <w:pStyle w:val="Header"/>
      <w:rPr>
        <w:lang w:val="nl-BE"/>
      </w:rPr>
    </w:pPr>
    <w:r>
      <w:rPr>
        <w:noProof/>
        <w:lang w:eastAsia="en-GB"/>
      </w:rPr>
      <w:drawing>
        <wp:inline distT="0" distB="0" distL="0" distR="0" wp14:anchorId="5B6B2A88" wp14:editId="394B8FAE">
          <wp:extent cx="2897074" cy="678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7074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6F41">
      <w:rPr>
        <w:lang w:val="nl-BE"/>
      </w:rPr>
      <w:ptab w:relativeTo="margin" w:alignment="center" w:leader="none"/>
    </w:r>
    <w:r>
      <w:rPr>
        <w:noProof/>
        <w:lang w:eastAsia="en-GB"/>
      </w:rPr>
      <w:t xml:space="preserve">                                                                     </w:t>
    </w:r>
    <w:r>
      <w:rPr>
        <w:noProof/>
        <w:lang w:eastAsia="en-GB"/>
      </w:rPr>
      <w:drawing>
        <wp:inline distT="0" distB="0" distL="0" distR="0" wp14:anchorId="22D3CBBF" wp14:editId="323C2771">
          <wp:extent cx="1538309" cy="102108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fuel-Gas-Can_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50" cy="101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2B1E" w:rsidRPr="00CE117F" w:rsidRDefault="00A02B1E">
    <w:pPr>
      <w:pStyle w:val="Header"/>
      <w:rPr>
        <w:lang w:val="nl-BE"/>
      </w:rPr>
    </w:pPr>
    <w:r w:rsidRPr="00A46F41">
      <w:rPr>
        <w:lang w:val="nl-B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478"/>
    <w:multiLevelType w:val="hybridMultilevel"/>
    <w:tmpl w:val="9058E7DC"/>
    <w:lvl w:ilvl="0" w:tplc="8D6C0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E9E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EB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AA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46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AF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ED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2C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A3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D1AEB"/>
    <w:multiLevelType w:val="hybridMultilevel"/>
    <w:tmpl w:val="D946DEFC"/>
    <w:lvl w:ilvl="0" w:tplc="EFE81F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282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29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B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46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AE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EF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346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AD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FE7034"/>
    <w:multiLevelType w:val="hybridMultilevel"/>
    <w:tmpl w:val="835AAA9A"/>
    <w:lvl w:ilvl="0" w:tplc="7AA80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C5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69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8E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CC8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F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A3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27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62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642E9"/>
    <w:multiLevelType w:val="hybridMultilevel"/>
    <w:tmpl w:val="6ADE3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7A"/>
    <w:rsid w:val="000525E5"/>
    <w:rsid w:val="00095BB1"/>
    <w:rsid w:val="000F4F74"/>
    <w:rsid w:val="001167E2"/>
    <w:rsid w:val="00142E18"/>
    <w:rsid w:val="00155405"/>
    <w:rsid w:val="0024643F"/>
    <w:rsid w:val="00264491"/>
    <w:rsid w:val="00322AE1"/>
    <w:rsid w:val="00336A44"/>
    <w:rsid w:val="004F6B91"/>
    <w:rsid w:val="005942DE"/>
    <w:rsid w:val="005A24E7"/>
    <w:rsid w:val="005A6D76"/>
    <w:rsid w:val="005C4039"/>
    <w:rsid w:val="00680C45"/>
    <w:rsid w:val="00701D92"/>
    <w:rsid w:val="007B7C8B"/>
    <w:rsid w:val="007E3CF7"/>
    <w:rsid w:val="007F25B8"/>
    <w:rsid w:val="008901DF"/>
    <w:rsid w:val="008D3755"/>
    <w:rsid w:val="009449D8"/>
    <w:rsid w:val="009A6017"/>
    <w:rsid w:val="009E14F4"/>
    <w:rsid w:val="00A02B1E"/>
    <w:rsid w:val="00A24FA0"/>
    <w:rsid w:val="00A46F41"/>
    <w:rsid w:val="00A61B02"/>
    <w:rsid w:val="00A64B61"/>
    <w:rsid w:val="00AA0AB8"/>
    <w:rsid w:val="00AA7A56"/>
    <w:rsid w:val="00AB0619"/>
    <w:rsid w:val="00AE1C9F"/>
    <w:rsid w:val="00B46DEB"/>
    <w:rsid w:val="00B75BFF"/>
    <w:rsid w:val="00C75E19"/>
    <w:rsid w:val="00C97D0D"/>
    <w:rsid w:val="00CB7A7A"/>
    <w:rsid w:val="00CE117F"/>
    <w:rsid w:val="00D0257E"/>
    <w:rsid w:val="00D50662"/>
    <w:rsid w:val="00D5374C"/>
    <w:rsid w:val="00DA2614"/>
    <w:rsid w:val="00DB56B8"/>
    <w:rsid w:val="00DB5A6A"/>
    <w:rsid w:val="00DC0651"/>
    <w:rsid w:val="00E31C07"/>
    <w:rsid w:val="00E70C79"/>
    <w:rsid w:val="00E95CFF"/>
    <w:rsid w:val="00EB1B2C"/>
    <w:rsid w:val="00F478FE"/>
    <w:rsid w:val="00F765A1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7A"/>
  </w:style>
  <w:style w:type="paragraph" w:styleId="Footer">
    <w:name w:val="footer"/>
    <w:basedOn w:val="Normal"/>
    <w:link w:val="FooterChar"/>
    <w:uiPriority w:val="99"/>
    <w:unhideWhenUsed/>
    <w:rsid w:val="00CB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7A"/>
  </w:style>
  <w:style w:type="paragraph" w:styleId="ListParagraph">
    <w:name w:val="List Paragraph"/>
    <w:basedOn w:val="Normal"/>
    <w:uiPriority w:val="34"/>
    <w:qFormat/>
    <w:rsid w:val="00DB56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601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42DE"/>
  </w:style>
  <w:style w:type="character" w:styleId="CommentReference">
    <w:name w:val="annotation reference"/>
    <w:basedOn w:val="DefaultParagraphFont"/>
    <w:uiPriority w:val="99"/>
    <w:semiHidden/>
    <w:unhideWhenUsed/>
    <w:rsid w:val="00DB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7A"/>
  </w:style>
  <w:style w:type="paragraph" w:styleId="Footer">
    <w:name w:val="footer"/>
    <w:basedOn w:val="Normal"/>
    <w:link w:val="FooterChar"/>
    <w:uiPriority w:val="99"/>
    <w:unhideWhenUsed/>
    <w:rsid w:val="00CB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7A"/>
  </w:style>
  <w:style w:type="paragraph" w:styleId="ListParagraph">
    <w:name w:val="List Paragraph"/>
    <w:basedOn w:val="Normal"/>
    <w:uiPriority w:val="34"/>
    <w:qFormat/>
    <w:rsid w:val="00DB56B8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601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42DE"/>
  </w:style>
  <w:style w:type="character" w:styleId="CommentReference">
    <w:name w:val="annotation reference"/>
    <w:basedOn w:val="DefaultParagraphFont"/>
    <w:uiPriority w:val="99"/>
    <w:semiHidden/>
    <w:unhideWhenUsed/>
    <w:rsid w:val="00DB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459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82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oa.eu" TargetMode="External"/><Relationship Id="rId1" Type="http://schemas.openxmlformats.org/officeDocument/2006/relationships/hyperlink" Target="mailto:Graeme.wallace@efo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14D5-8651-468B-A4BD-00917662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Cefic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</dc:creator>
  <cp:lastModifiedBy>awh</cp:lastModifiedBy>
  <cp:revision>2</cp:revision>
  <dcterms:created xsi:type="dcterms:W3CDTF">2013-06-27T07:14:00Z</dcterms:created>
  <dcterms:modified xsi:type="dcterms:W3CDTF">2013-06-27T07:14:00Z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-536903424</vt:i4>
  </property>
  <property fmtid="{D5CDD505-2E9C-101B-9397-08002B2CF9AE}" pid="3" name="_NewReviewCycle">
    <vt:lpwstr/>
  </property>
  <property fmtid="{D5CDD505-2E9C-101B-9397-08002B2CF9AE}" pid="4" name="_EmailSubject">
    <vt:lpwstr>PR for EP Lunch</vt:lpwstr>
  </property>
  <property fmtid="{D5CDD505-2E9C-101B-9397-08002B2CF9AE}" pid="5" name="_AuthorEmail">
    <vt:lpwstr>Bruno.Hery@lyondellbasell.com</vt:lpwstr>
  </property>
  <property fmtid="{D5CDD505-2E9C-101B-9397-08002B2CF9AE}" pid="6" name="_AuthorEmailDisplayName">
    <vt:lpwstr>Hery, Bruno</vt:lpwstr>
  </property>
  <property fmtid="{D5CDD505-2E9C-101B-9397-08002B2CF9AE}" pid="7" name="_PreviousAdHocReviewCycleID">
    <vt:i4>2113992988</vt:i4>
  </property>
  <property fmtid="{D5CDD505-2E9C-101B-9397-08002B2CF9AE}" pid="8" name="_ReviewingToolsShownOnce">
    <vt:lpwstr/>
  </property>
</Properties>
</file>